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0D" w:rsidRPr="003F550D" w:rsidRDefault="003F550D" w:rsidP="003F550D">
      <w:pPr>
        <w:pStyle w:val="Nadpis5"/>
      </w:pPr>
      <w:bookmarkStart w:id="0" w:name="_GoBack"/>
      <w:bookmarkEnd w:id="0"/>
      <w:r>
        <w:rPr>
          <w:b w:val="0"/>
          <w:sz w:val="24"/>
          <w:szCs w:val="24"/>
        </w:rPr>
        <w:t>Příloha P 5.2 - 2020</w:t>
      </w:r>
    </w:p>
    <w:p w:rsidR="008D4B95" w:rsidRPr="003F550D" w:rsidRDefault="008D4B95" w:rsidP="003F550D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object w:dxaOrig="297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71.25pt" o:ole="">
            <v:imagedata r:id="rId5" o:title=""/>
          </v:shape>
          <o:OLEObject Type="Embed" ProgID="CorelDraw.Graphic.9" ShapeID="_x0000_i1025" DrawAspect="Content" ObjectID="_1650879616" r:id="rId6"/>
        </w:object>
      </w:r>
      <w:r>
        <w:rPr>
          <w:b/>
          <w:bCs/>
          <w:sz w:val="20"/>
          <w:szCs w:val="20"/>
        </w:rPr>
        <w:t xml:space="preserve">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2257425" cy="971550"/>
            <wp:effectExtent l="0" t="0" r="9525" b="0"/>
            <wp:docPr id="2" name="Obrázek 2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95" w:rsidRPr="003F550D" w:rsidRDefault="008D4B95" w:rsidP="003F550D">
      <w:pPr>
        <w:spacing w:before="100" w:beforeAutospacing="1" w:after="100" w:afterAutospacing="1"/>
        <w:ind w:left="360"/>
        <w:jc w:val="center"/>
        <w:rPr>
          <w:b/>
          <w:u w:val="single"/>
        </w:rPr>
      </w:pPr>
      <w:r w:rsidRPr="003F550D">
        <w:rPr>
          <w:b/>
          <w:u w:val="single"/>
        </w:rPr>
        <w:t>Počty přijímaných uchazečů v</w:t>
      </w:r>
      <w:r w:rsidR="00F02143" w:rsidRPr="003F550D">
        <w:rPr>
          <w:b/>
          <w:u w:val="single"/>
        </w:rPr>
        <w:t>e</w:t>
      </w:r>
      <w:r w:rsidRPr="003F550D">
        <w:rPr>
          <w:b/>
          <w:u w:val="single"/>
        </w:rPr>
        <w:t> </w:t>
      </w:r>
      <w:r w:rsidR="00F02143" w:rsidRPr="003F550D">
        <w:rPr>
          <w:b/>
          <w:u w:val="single"/>
        </w:rPr>
        <w:t>2</w:t>
      </w:r>
      <w:r w:rsidRPr="003F550D">
        <w:rPr>
          <w:b/>
          <w:u w:val="single"/>
        </w:rPr>
        <w:t xml:space="preserve">. kole přijímacího řízení do 1. ročníku nástavbového studia pro školní rok </w:t>
      </w:r>
      <w:r w:rsidR="00F02143" w:rsidRPr="003F550D">
        <w:rPr>
          <w:b/>
          <w:u w:val="single"/>
        </w:rPr>
        <w:t>2020/2021</w:t>
      </w:r>
    </w:p>
    <w:p w:rsidR="008D4B95" w:rsidRDefault="008D4B95" w:rsidP="008D4B95">
      <w:pPr>
        <w:tabs>
          <w:tab w:val="left" w:pos="720"/>
        </w:tabs>
      </w:pPr>
      <w:r>
        <w:tab/>
      </w:r>
      <w:r>
        <w:rPr>
          <w:b/>
        </w:rPr>
        <w:t xml:space="preserve">Denní forma – 2letá – </w:t>
      </w:r>
      <w:r>
        <w:t>řádná denní docházka</w:t>
      </w:r>
      <w:r w:rsidR="007D2F31">
        <w:tab/>
        <w:t>Počet volných míst</w:t>
      </w:r>
    </w:p>
    <w:p w:rsidR="008D4B95" w:rsidRDefault="008D4B95" w:rsidP="008D4B95">
      <w:pPr>
        <w:ind w:left="708"/>
        <w:rPr>
          <w:b/>
        </w:rPr>
      </w:pPr>
    </w:p>
    <w:p w:rsidR="008D4B95" w:rsidRDefault="008D4B95" w:rsidP="008D4B95">
      <w:pPr>
        <w:tabs>
          <w:tab w:val="left" w:pos="284"/>
          <w:tab w:val="left" w:pos="2268"/>
          <w:tab w:val="left" w:pos="5387"/>
          <w:tab w:val="left" w:pos="5812"/>
        </w:tabs>
        <w:ind w:left="708"/>
        <w:jc w:val="both"/>
      </w:pPr>
      <w:r>
        <w:t>+ 33-42-L/51   Nábytkářská a dřevařská výroba</w:t>
      </w:r>
      <w:r>
        <w:tab/>
      </w:r>
      <w:r>
        <w:tab/>
      </w:r>
      <w:r>
        <w:tab/>
      </w:r>
      <w:r w:rsidR="00F02143">
        <w:t>8</w:t>
      </w:r>
    </w:p>
    <w:p w:rsidR="008D4B95" w:rsidRPr="003F550D" w:rsidRDefault="008D4B95" w:rsidP="003F550D">
      <w:pPr>
        <w:tabs>
          <w:tab w:val="left" w:pos="284"/>
          <w:tab w:val="left" w:pos="2268"/>
          <w:tab w:val="left" w:pos="5387"/>
          <w:tab w:val="left" w:pos="5812"/>
        </w:tabs>
        <w:spacing w:line="360" w:lineRule="auto"/>
        <w:ind w:left="708"/>
        <w:jc w:val="both"/>
      </w:pPr>
      <w:r>
        <w:t>+ 36-44-L/51   Stavební provoz</w:t>
      </w:r>
      <w:r>
        <w:tab/>
      </w:r>
      <w:r>
        <w:tab/>
      </w:r>
      <w:r>
        <w:tab/>
      </w:r>
      <w:r w:rsidR="00F02143">
        <w:t>10</w:t>
      </w:r>
    </w:p>
    <w:p w:rsidR="008D4B95" w:rsidRPr="003F550D" w:rsidRDefault="008D4B95" w:rsidP="003F550D">
      <w:pPr>
        <w:pStyle w:val="Nadpis5"/>
        <w:jc w:val="center"/>
        <w:rPr>
          <w:sz w:val="24"/>
          <w:szCs w:val="24"/>
          <w:u w:val="single"/>
        </w:rPr>
      </w:pPr>
      <w:r w:rsidRPr="003F550D">
        <w:rPr>
          <w:sz w:val="24"/>
          <w:szCs w:val="24"/>
          <w:u w:val="single"/>
        </w:rPr>
        <w:t xml:space="preserve">Kritéria přijímacího řízení do </w:t>
      </w:r>
      <w:r w:rsidR="00CA26C8" w:rsidRPr="003F550D">
        <w:rPr>
          <w:sz w:val="24"/>
          <w:szCs w:val="24"/>
          <w:u w:val="single"/>
        </w:rPr>
        <w:t>1</w:t>
      </w:r>
      <w:r w:rsidRPr="003F550D">
        <w:rPr>
          <w:sz w:val="24"/>
          <w:szCs w:val="24"/>
          <w:u w:val="single"/>
        </w:rPr>
        <w:t xml:space="preserve">. ročníků nástavbového studia pro školní rok </w:t>
      </w:r>
      <w:r w:rsidR="00F02143" w:rsidRPr="003F550D">
        <w:rPr>
          <w:sz w:val="24"/>
          <w:szCs w:val="24"/>
          <w:u w:val="single"/>
        </w:rPr>
        <w:t>2020/2021</w:t>
      </w:r>
    </w:p>
    <w:p w:rsidR="008D4B95" w:rsidRDefault="003F550D" w:rsidP="008D4B95">
      <w:pPr>
        <w:tabs>
          <w:tab w:val="left" w:pos="720"/>
        </w:tabs>
      </w:pPr>
      <w:r>
        <w:t xml:space="preserve">Nástavbové studium </w:t>
      </w:r>
      <w:r w:rsidR="008D4B95">
        <w:t>je určeno pro uchazeče, kteří úspěšně absolvovali středoškolské vzdělávání s výučním listem ve stejné odbornosti, viz. nařízení vlády č. 2011/2010 Sb., o soustavě oborů vzdělávání.  Přihlášky ke vzdělávání mohou podat i uchazeči, kteří v období konání přijímacího řízení jsou žáky v učebních oborech stejného zaměření jako nástavbo</w:t>
      </w:r>
      <w:r>
        <w:t xml:space="preserve">vé studium, dle nařízení vlády </w:t>
      </w:r>
      <w:r w:rsidR="008D4B95">
        <w:t xml:space="preserve">č. 211/2010 Sb. </w:t>
      </w:r>
      <w:r w:rsidR="008D4B95" w:rsidRPr="003F550D">
        <w:rPr>
          <w:b/>
        </w:rPr>
        <w:t xml:space="preserve">V případě, že uchazeč nezíská výuční list k datu zahájení výuky, přestane rozhodnutí o přijetí ke vzdělávání platit. </w:t>
      </w:r>
    </w:p>
    <w:p w:rsidR="008D4B95" w:rsidRDefault="008D4B95" w:rsidP="008D4B95">
      <w:pPr>
        <w:tabs>
          <w:tab w:val="left" w:pos="720"/>
        </w:tabs>
      </w:pPr>
    </w:p>
    <w:p w:rsidR="008D4B95" w:rsidRDefault="008D4B95" w:rsidP="008D4B95">
      <w:pPr>
        <w:numPr>
          <w:ilvl w:val="0"/>
          <w:numId w:val="6"/>
        </w:numPr>
        <w:rPr>
          <w:b/>
        </w:rPr>
      </w:pPr>
      <w:r>
        <w:t xml:space="preserve">Prokázání </w:t>
      </w:r>
      <w:r>
        <w:rPr>
          <w:b/>
        </w:rPr>
        <w:t>návaznosti vzdělání</w:t>
      </w:r>
      <w:r>
        <w:t xml:space="preserve"> v tříletém oboru dle nařízení vlády č. 211/2010 Sb.</w:t>
      </w:r>
    </w:p>
    <w:p w:rsidR="008D4B95" w:rsidRDefault="008D4B95" w:rsidP="008D4B95">
      <w:pPr>
        <w:ind w:left="720"/>
      </w:pPr>
      <w:r>
        <w:t>- kopie výučního listu vč. vysvědčení o závěrečné zkoušce</w:t>
      </w:r>
      <w:r>
        <w:tab/>
      </w:r>
      <w:r w:rsidR="003B7204">
        <w:t>a vysvědčení za 3.ročník</w:t>
      </w:r>
    </w:p>
    <w:p w:rsidR="008D4B95" w:rsidRDefault="008D4B95" w:rsidP="008D4B95">
      <w:pPr>
        <w:ind w:left="720"/>
        <w:rPr>
          <w:b/>
        </w:rPr>
      </w:pPr>
      <w:r>
        <w:t>nebo</w:t>
      </w:r>
      <w:r>
        <w:tab/>
      </w:r>
      <w:r>
        <w:tab/>
      </w:r>
      <w:r>
        <w:tab/>
      </w:r>
    </w:p>
    <w:p w:rsidR="008D4B95" w:rsidRPr="003F550D" w:rsidRDefault="008D4B95" w:rsidP="003F550D">
      <w:pPr>
        <w:ind w:left="720"/>
      </w:pPr>
      <w:r>
        <w:rPr>
          <w:b/>
        </w:rPr>
        <w:t xml:space="preserve">- </w:t>
      </w:r>
      <w:r>
        <w:t>potvrzení školy uchazeče o vzdělávání v 3. ročníku (výpis z vysvědčení za 1. pololetí)</w:t>
      </w:r>
    </w:p>
    <w:p w:rsidR="008D4B95" w:rsidRDefault="008D4B95" w:rsidP="008D4B95">
      <w:pPr>
        <w:spacing w:before="100" w:beforeAutospacing="1" w:after="100" w:afterAutospacing="1"/>
      </w:pPr>
      <w:r>
        <w:rPr>
          <w:b/>
        </w:rPr>
        <w:t xml:space="preserve">      2.</w:t>
      </w:r>
      <w:r>
        <w:t xml:space="preserve"> Výsledky z předchozího vzdělávání – maximálně </w:t>
      </w:r>
      <w:r w:rsidR="003B7204" w:rsidRPr="003B7204">
        <w:rPr>
          <w:b/>
        </w:rPr>
        <w:t>2</w:t>
      </w:r>
      <w:r>
        <w:rPr>
          <w:b/>
        </w:rPr>
        <w:t>0 bodů</w:t>
      </w:r>
      <w:r>
        <w:t xml:space="preserve">.  </w:t>
      </w:r>
    </w:p>
    <w:p w:rsidR="008D4B95" w:rsidRDefault="008D4B95" w:rsidP="008D4B95">
      <w:pPr>
        <w:spacing w:before="100" w:beforeAutospacing="1" w:after="100" w:afterAutospacing="1"/>
        <w:ind w:left="708"/>
      </w:pPr>
      <w:r>
        <w:t xml:space="preserve">Výpočet bodového hodnocení: </w:t>
      </w:r>
      <w:r w:rsidR="003B7204">
        <w:tab/>
      </w:r>
      <w:r w:rsidR="003B7204" w:rsidRPr="003B7204">
        <w:rPr>
          <w:b/>
        </w:rPr>
        <w:t>2</w:t>
      </w:r>
      <w:r w:rsidRPr="003B7204">
        <w:rPr>
          <w:b/>
        </w:rPr>
        <w:t>0 bodů / průměrný prospěch</w:t>
      </w:r>
      <w:r>
        <w:t xml:space="preserve"> </w:t>
      </w:r>
    </w:p>
    <w:p w:rsidR="008D4B95" w:rsidRDefault="008D4B95" w:rsidP="008D4B95">
      <w:pPr>
        <w:spacing w:before="100" w:beforeAutospacing="1" w:after="100" w:afterAutospacing="1"/>
        <w:ind w:left="708"/>
      </w:pPr>
      <w:r>
        <w:t xml:space="preserve">Uchazečům, kteří již </w:t>
      </w:r>
      <w:r>
        <w:rPr>
          <w:b/>
        </w:rPr>
        <w:t>získali výuční list</w:t>
      </w:r>
      <w:r>
        <w:t>, bude průměrný prospěch vypočítán z hodnocení na Vysvědčení o závěrečné zkoušce, které je nedílnou přílohou Výučního listu.</w:t>
      </w:r>
    </w:p>
    <w:p w:rsidR="008D4B95" w:rsidRDefault="008D4B95" w:rsidP="008D4B95">
      <w:pPr>
        <w:spacing w:before="100" w:beforeAutospacing="1" w:after="100" w:afterAutospacing="1"/>
        <w:ind w:left="708"/>
      </w:pPr>
      <w:r>
        <w:t xml:space="preserve">U uchazečů, kteří </w:t>
      </w:r>
      <w:r>
        <w:rPr>
          <w:b/>
        </w:rPr>
        <w:t>nejsou vyučeni,</w:t>
      </w:r>
      <w:r>
        <w:t xml:space="preserve"> se průměrný prospěch stanoví z hodnocení              1. pololetí 3. ročníku. Do průměrného prospěchu se nezapočítává známka z chování.</w:t>
      </w:r>
    </w:p>
    <w:p w:rsidR="003B7204" w:rsidRDefault="003B7204" w:rsidP="009B2708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>
        <w:t>Hodnocení předmětů Jazyka českého a literatury a Matematiky – maximálně 10 bodů</w:t>
      </w:r>
    </w:p>
    <w:p w:rsidR="003B7204" w:rsidRDefault="003B7204" w:rsidP="003B7204">
      <w:pPr>
        <w:pStyle w:val="Odstavecseseznamem"/>
        <w:spacing w:before="100" w:beforeAutospacing="1" w:after="100" w:afterAutospacing="1"/>
      </w:pPr>
    </w:p>
    <w:p w:rsidR="003B7204" w:rsidRDefault="003B7204" w:rsidP="003B7204">
      <w:pPr>
        <w:pStyle w:val="Odstavecseseznamem"/>
        <w:spacing w:before="100" w:beforeAutospacing="1" w:after="100" w:afterAutospacing="1"/>
      </w:pPr>
      <w:r>
        <w:t>Za hodnocení v 3.ročníku:</w:t>
      </w:r>
    </w:p>
    <w:p w:rsidR="003B7204" w:rsidRDefault="003B7204" w:rsidP="003B7204">
      <w:pPr>
        <w:pStyle w:val="Odstavecseseznamem"/>
        <w:spacing w:before="100" w:beforeAutospacing="1" w:after="100" w:afterAutospacing="1"/>
      </w:pPr>
      <w:r>
        <w:tab/>
        <w:t>- výborný</w:t>
      </w:r>
      <w:r>
        <w:tab/>
      </w:r>
      <w:r>
        <w:tab/>
        <w:t>5 bodů</w:t>
      </w:r>
    </w:p>
    <w:p w:rsidR="003B7204" w:rsidRDefault="003B7204" w:rsidP="003B7204">
      <w:pPr>
        <w:pStyle w:val="Odstavecseseznamem"/>
        <w:spacing w:before="100" w:beforeAutospacing="1" w:after="100" w:afterAutospacing="1"/>
      </w:pPr>
      <w:r>
        <w:tab/>
        <w:t>- chvalitebný</w:t>
      </w:r>
      <w:r>
        <w:tab/>
      </w:r>
      <w:r>
        <w:tab/>
        <w:t>4 body</w:t>
      </w:r>
    </w:p>
    <w:p w:rsidR="003B7204" w:rsidRDefault="003B7204" w:rsidP="003B7204">
      <w:pPr>
        <w:pStyle w:val="Odstavecseseznamem"/>
        <w:spacing w:before="100" w:beforeAutospacing="1" w:after="100" w:afterAutospacing="1"/>
      </w:pPr>
      <w:r>
        <w:lastRenderedPageBreak/>
        <w:tab/>
        <w:t>- dobrý</w:t>
      </w:r>
      <w:r>
        <w:tab/>
      </w:r>
      <w:r>
        <w:tab/>
      </w:r>
      <w:r>
        <w:tab/>
        <w:t>3 body</w:t>
      </w:r>
    </w:p>
    <w:p w:rsidR="003B7204" w:rsidRDefault="003B7204" w:rsidP="003B7204">
      <w:pPr>
        <w:pStyle w:val="Odstavecseseznamem"/>
        <w:spacing w:before="100" w:beforeAutospacing="1" w:after="100" w:afterAutospacing="1"/>
      </w:pPr>
      <w:r>
        <w:tab/>
        <w:t>- dostatečný</w:t>
      </w:r>
      <w:r>
        <w:tab/>
      </w:r>
      <w:r>
        <w:tab/>
        <w:t>1 bod</w:t>
      </w:r>
    </w:p>
    <w:p w:rsidR="003F550D" w:rsidRDefault="008D4B95" w:rsidP="008D4B95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</w:t>
      </w:r>
    </w:p>
    <w:p w:rsidR="008D4B95" w:rsidRDefault="008D4B95" w:rsidP="008D4B95">
      <w:pPr>
        <w:spacing w:before="100" w:beforeAutospacing="1" w:after="100" w:afterAutospacing="1"/>
      </w:pPr>
      <w:r>
        <w:rPr>
          <w:b/>
        </w:rPr>
        <w:t xml:space="preserve"> </w:t>
      </w:r>
      <w:r w:rsidR="003B7204">
        <w:rPr>
          <w:b/>
        </w:rPr>
        <w:t>4</w:t>
      </w:r>
      <w:r>
        <w:t xml:space="preserve">. Za umístění v krajských a celostátních soutěžích – přičítá se maximálně </w:t>
      </w:r>
      <w:r>
        <w:rPr>
          <w:b/>
        </w:rPr>
        <w:t>10 bodů</w:t>
      </w:r>
    </w:p>
    <w:p w:rsidR="008D4B95" w:rsidRDefault="008D4B95" w:rsidP="008D4B95">
      <w:pPr>
        <w:spacing w:before="100" w:beforeAutospacing="1" w:after="100" w:afterAutospacing="1"/>
        <w:ind w:left="660"/>
        <w:jc w:val="both"/>
      </w:pPr>
      <w:r>
        <w:t>tj.  1. místo: 4 body; 2. místo: 3 body; 3. místo: 2 body</w:t>
      </w:r>
    </w:p>
    <w:p w:rsidR="008D4B95" w:rsidRDefault="008D4B95" w:rsidP="008D4B95">
      <w:pPr>
        <w:spacing w:before="100" w:beforeAutospacing="1" w:after="100" w:afterAutospacing="1"/>
        <w:ind w:left="660"/>
        <w:jc w:val="both"/>
      </w:pPr>
      <w:r>
        <w:t>chce-li uchazeč toto krit</w:t>
      </w:r>
      <w:r w:rsidR="00515391">
        <w:t>é</w:t>
      </w:r>
      <w:r>
        <w:t>rium uplatnit, dodá k přihlášce potvrzení o umístění v soutěžích konaných během vzdělávání na střední škole (soutěže zručnosti, matematiky, sportu apod.),</w:t>
      </w:r>
    </w:p>
    <w:p w:rsidR="008D4B95" w:rsidRDefault="008D4B95" w:rsidP="008D4B95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</w:t>
      </w:r>
      <w:r w:rsidR="003B7204">
        <w:rPr>
          <w:b/>
        </w:rPr>
        <w:t>5</w:t>
      </w:r>
      <w:r>
        <w:t xml:space="preserve">. </w:t>
      </w:r>
      <w:r>
        <w:rPr>
          <w:b/>
        </w:rPr>
        <w:t>Jednotná přijímací zkouška (stanovena státem)</w:t>
      </w:r>
    </w:p>
    <w:p w:rsidR="008D4B95" w:rsidRDefault="007D2F31" w:rsidP="008D4B95">
      <w:pPr>
        <w:spacing w:before="100" w:beforeAutospacing="1" w:after="100" w:afterAutospacing="1"/>
        <w:ind w:left="660"/>
        <w:jc w:val="both"/>
      </w:pPr>
      <w:r>
        <w:t>Přijímací zkouška se konala jen v 1. kole přijímacího řízení</w:t>
      </w:r>
      <w:r w:rsidR="007D3266">
        <w:t xml:space="preserve">, </w:t>
      </w:r>
      <w:r w:rsidR="007D3266" w:rsidRPr="003F550D">
        <w:rPr>
          <w:b/>
          <w:u w:val="single"/>
        </w:rPr>
        <w:t>ve 2. kole se nekoná</w:t>
      </w:r>
      <w:r w:rsidRPr="003F550D">
        <w:rPr>
          <w:u w:val="single"/>
        </w:rPr>
        <w:t>.</w:t>
      </w:r>
    </w:p>
    <w:p w:rsidR="008D4B95" w:rsidRDefault="003B7204" w:rsidP="008D4B95">
      <w:pPr>
        <w:spacing w:before="100" w:beforeAutospacing="1" w:after="100" w:afterAutospacing="1"/>
        <w:ind w:left="360"/>
      </w:pPr>
      <w:r>
        <w:rPr>
          <w:b/>
        </w:rPr>
        <w:t>6</w:t>
      </w:r>
      <w:r w:rsidR="008D4B95">
        <w:rPr>
          <w:b/>
        </w:rPr>
        <w:t>.</w:t>
      </w:r>
      <w:r w:rsidR="008D4B95">
        <w:t xml:space="preserve"> Uchazeči budou seřazeni podle součtu dosažených bodů (dle kriterií 2.,3. a 4.), sestupně. Pro přijetí ke vzdělávání bude stanovena kapacita přijímaných uchazečů v každém kole přijímacího řízení; </w:t>
      </w:r>
    </w:p>
    <w:p w:rsidR="008D4B95" w:rsidRDefault="003B7204" w:rsidP="008D4B95">
      <w:pPr>
        <w:spacing w:after="100" w:afterAutospacing="1"/>
        <w:ind w:left="360"/>
      </w:pPr>
      <w:r>
        <w:rPr>
          <w:b/>
        </w:rPr>
        <w:t>7</w:t>
      </w:r>
      <w:r w:rsidR="008D4B95">
        <w:rPr>
          <w:b/>
        </w:rPr>
        <w:t>.</w:t>
      </w:r>
      <w:r w:rsidR="008D4B95">
        <w:t xml:space="preserve"> Při rovnosti získaných bodů uchazeči a při naplnění kapacity přijímaných uchazečů, bude mezi nimi rozhodnuto na základě:</w:t>
      </w:r>
    </w:p>
    <w:p w:rsidR="008E6DBC" w:rsidRDefault="008E6DBC" w:rsidP="008E6DBC">
      <w:pPr>
        <w:spacing w:before="100" w:beforeAutospacing="1" w:after="100" w:afterAutospacing="1"/>
        <w:ind w:left="360"/>
      </w:pPr>
      <w:r>
        <w:t>a</w:t>
      </w:r>
      <w:r>
        <w:rPr>
          <w:b/>
        </w:rPr>
        <w:t xml:space="preserve">) </w:t>
      </w:r>
      <w:r>
        <w:t>hodnocení prospěchu z matematiky v 1. pololetí posledního ročníku učebního oboru.</w:t>
      </w:r>
    </w:p>
    <w:p w:rsidR="008E6DBC" w:rsidRDefault="008E6DBC" w:rsidP="008E6DBC">
      <w:pPr>
        <w:spacing w:before="100" w:beforeAutospacing="1" w:after="100" w:afterAutospacing="1"/>
        <w:ind w:left="360"/>
      </w:pPr>
      <w:r>
        <w:t>b) hodnocení prospěchu z jazyka českého v 1 pololetí posledního ročníku učebního oboru.</w:t>
      </w:r>
    </w:p>
    <w:p w:rsidR="008D4B95" w:rsidRDefault="008D4B95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Školní přijímací zkoušky</w:t>
      </w:r>
      <w:r>
        <w:rPr>
          <w:sz w:val="28"/>
          <w:szCs w:val="28"/>
        </w:rPr>
        <w:t xml:space="preserve"> se nebudou konat v žádném kole přijímacího řízení.</w:t>
      </w:r>
    </w:p>
    <w:p w:rsidR="008D4B95" w:rsidRDefault="008D4B95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sz w:val="28"/>
          <w:szCs w:val="28"/>
        </w:rPr>
      </w:pPr>
    </w:p>
    <w:p w:rsidR="008D4B95" w:rsidRPr="00F02143" w:rsidRDefault="008D4B95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color w:val="FF0000"/>
          <w:sz w:val="28"/>
          <w:szCs w:val="28"/>
        </w:rPr>
      </w:pPr>
      <w:r w:rsidRPr="00F02143">
        <w:rPr>
          <w:b/>
          <w:color w:val="FF0000"/>
          <w:sz w:val="28"/>
          <w:szCs w:val="28"/>
          <w:u w:val="single"/>
        </w:rPr>
        <w:t>Termín pro podání přihlášek v</w:t>
      </w:r>
      <w:r w:rsidR="00F02143" w:rsidRPr="00F02143">
        <w:rPr>
          <w:b/>
          <w:color w:val="FF0000"/>
          <w:sz w:val="28"/>
          <w:szCs w:val="28"/>
          <w:u w:val="single"/>
        </w:rPr>
        <w:t>e</w:t>
      </w:r>
      <w:r w:rsidRPr="00F02143">
        <w:rPr>
          <w:b/>
          <w:color w:val="FF0000"/>
          <w:sz w:val="28"/>
          <w:szCs w:val="28"/>
          <w:u w:val="single"/>
        </w:rPr>
        <w:t> </w:t>
      </w:r>
      <w:r w:rsidR="00F02143" w:rsidRPr="00F02143">
        <w:rPr>
          <w:b/>
          <w:color w:val="FF0000"/>
          <w:sz w:val="28"/>
          <w:szCs w:val="28"/>
          <w:u w:val="single"/>
        </w:rPr>
        <w:t>2</w:t>
      </w:r>
      <w:r w:rsidRPr="00F02143">
        <w:rPr>
          <w:b/>
          <w:color w:val="FF0000"/>
          <w:sz w:val="28"/>
          <w:szCs w:val="28"/>
          <w:u w:val="single"/>
        </w:rPr>
        <w:t>. kole přijímacího řízení</w:t>
      </w:r>
      <w:r w:rsidR="00F02143">
        <w:rPr>
          <w:b/>
          <w:color w:val="FF0000"/>
          <w:sz w:val="28"/>
          <w:szCs w:val="28"/>
          <w:u w:val="single"/>
        </w:rPr>
        <w:t xml:space="preserve"> je 22.5.2020</w:t>
      </w:r>
    </w:p>
    <w:p w:rsidR="008D4B95" w:rsidRDefault="00F02143" w:rsidP="008D4B95">
      <w:pPr>
        <w:tabs>
          <w:tab w:val="left" w:pos="284"/>
          <w:tab w:val="left" w:pos="5387"/>
          <w:tab w:val="left" w:pos="5812"/>
        </w:tabs>
        <w:ind w:left="360"/>
        <w:jc w:val="both"/>
      </w:pPr>
      <w:r>
        <w:t xml:space="preserve"> </w:t>
      </w:r>
    </w:p>
    <w:p w:rsidR="00515391" w:rsidRDefault="00515391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b/>
          <w:sz w:val="28"/>
          <w:szCs w:val="28"/>
          <w:u w:val="single"/>
        </w:rPr>
      </w:pPr>
    </w:p>
    <w:p w:rsidR="008D4B95" w:rsidRDefault="008D4B95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b/>
        </w:rPr>
      </w:pPr>
      <w:r>
        <w:rPr>
          <w:u w:val="single"/>
        </w:rPr>
        <w:t>Rozhodnutí o přijetí</w:t>
      </w:r>
      <w:r>
        <w:t xml:space="preserve"> budou zasílána poštou</w:t>
      </w:r>
      <w:r w:rsidR="00F02143">
        <w:t xml:space="preserve"> na doručovací adresu udanou v přihlášce o studium.</w:t>
      </w:r>
    </w:p>
    <w:p w:rsidR="008D4B95" w:rsidRDefault="008D4B95" w:rsidP="008D4B95">
      <w:pPr>
        <w:tabs>
          <w:tab w:val="left" w:pos="284"/>
          <w:tab w:val="left" w:pos="5387"/>
          <w:tab w:val="left" w:pos="5812"/>
        </w:tabs>
        <w:ind w:left="360"/>
        <w:jc w:val="both"/>
      </w:pPr>
    </w:p>
    <w:p w:rsidR="00F02143" w:rsidRPr="003F550D" w:rsidRDefault="008D4B95" w:rsidP="003F550D">
      <w:pPr>
        <w:tabs>
          <w:tab w:val="left" w:pos="284"/>
          <w:tab w:val="left" w:pos="5387"/>
          <w:tab w:val="left" w:pos="5812"/>
        </w:tabs>
        <w:ind w:left="360"/>
        <w:jc w:val="both"/>
      </w:pPr>
      <w:r>
        <w:rPr>
          <w:u w:val="single"/>
        </w:rPr>
        <w:t>Rozhodnutí o nepřijetí</w:t>
      </w:r>
      <w:r>
        <w:t xml:space="preserve"> budou zaslána v písemné formě a bude možnost se proti rozhodnutí odvolat v zákonných lhůtách.</w:t>
      </w:r>
    </w:p>
    <w:p w:rsidR="00F02143" w:rsidRDefault="00F02143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b/>
          <w:u w:val="single"/>
        </w:rPr>
      </w:pPr>
    </w:p>
    <w:p w:rsidR="00F02143" w:rsidRDefault="00F02143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b/>
          <w:u w:val="single"/>
        </w:rPr>
      </w:pPr>
    </w:p>
    <w:p w:rsidR="008D4B95" w:rsidRDefault="008D4B95" w:rsidP="008D4B95">
      <w:pPr>
        <w:tabs>
          <w:tab w:val="left" w:pos="284"/>
          <w:tab w:val="left" w:pos="5387"/>
          <w:tab w:val="left" w:pos="5812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Sdělení:</w:t>
      </w:r>
    </w:p>
    <w:p w:rsidR="008E6DBC" w:rsidRDefault="008D4B95" w:rsidP="00354BC6">
      <w:pPr>
        <w:tabs>
          <w:tab w:val="left" w:pos="284"/>
          <w:tab w:val="left" w:pos="5387"/>
          <w:tab w:val="left" w:pos="5812"/>
        </w:tabs>
        <w:ind w:left="360"/>
        <w:jc w:val="both"/>
      </w:pPr>
      <w:r>
        <w:t>Vzhledem k tomu, že základní podmínkou pro přijetí ke vzdělávání v nástavbovém studiu je vyučen</w:t>
      </w:r>
      <w:r w:rsidR="00F02143">
        <w:t>í</w:t>
      </w:r>
      <w:r>
        <w:t xml:space="preserve"> v příslušném učebním oboru, tak uchazeči, kteří ještě nemají výuční list k datu přijímacího řízení a budou přijati ke vzdělávání, musí výuční list předložit do konce měsíce září, jinak bude rozhodnutí o přijetí zrušeno.</w:t>
      </w:r>
    </w:p>
    <w:p w:rsidR="008E6DBC" w:rsidRPr="008E6DBC" w:rsidRDefault="008E6DBC" w:rsidP="008E6DBC"/>
    <w:p w:rsidR="008E6DBC" w:rsidRPr="008E6DBC" w:rsidRDefault="008E6DBC" w:rsidP="008E6DBC"/>
    <w:p w:rsidR="008E6DBC" w:rsidRPr="008E6DBC" w:rsidRDefault="008E6DBC" w:rsidP="008E6DBC"/>
    <w:p w:rsidR="008E6DBC" w:rsidRPr="008E6DBC" w:rsidRDefault="008E6DBC" w:rsidP="008E6DBC"/>
    <w:p w:rsidR="008E6DBC" w:rsidRDefault="008E6DBC" w:rsidP="008E6DBC"/>
    <w:p w:rsidR="008E6DBC" w:rsidRDefault="008E6DBC" w:rsidP="008E6DBC"/>
    <w:p w:rsidR="008D4B95" w:rsidRDefault="008E6DBC" w:rsidP="008E6DBC">
      <w:r>
        <w:t xml:space="preserve">V Ostravě, </w:t>
      </w:r>
      <w:r w:rsidR="00F02143">
        <w:t>13.</w:t>
      </w:r>
      <w:r>
        <w:t xml:space="preserve"> května 20</w:t>
      </w:r>
      <w:r w:rsidR="00F02143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143">
        <w:t>Mgr. Lukáš Šubert</w:t>
      </w:r>
    </w:p>
    <w:p w:rsidR="008E6DBC" w:rsidRPr="008E6DBC" w:rsidRDefault="008E6DBC" w:rsidP="008E6D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 SŠ</w:t>
      </w:r>
    </w:p>
    <w:sectPr w:rsidR="008E6DBC" w:rsidRPr="008E6DBC" w:rsidSect="00E61E1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23E"/>
    <w:multiLevelType w:val="hybridMultilevel"/>
    <w:tmpl w:val="8DDA680E"/>
    <w:lvl w:ilvl="0" w:tplc="4E5802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24C"/>
    <w:multiLevelType w:val="hybridMultilevel"/>
    <w:tmpl w:val="9CDC2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09FB"/>
    <w:multiLevelType w:val="multilevel"/>
    <w:tmpl w:val="BA0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C3F01"/>
    <w:multiLevelType w:val="hybridMultilevel"/>
    <w:tmpl w:val="3F949362"/>
    <w:lvl w:ilvl="0" w:tplc="8D1C10F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F23C956C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8BA6A96"/>
    <w:multiLevelType w:val="hybridMultilevel"/>
    <w:tmpl w:val="48E4C7B8"/>
    <w:lvl w:ilvl="0" w:tplc="1C72CA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27A9"/>
    <w:multiLevelType w:val="hybridMultilevel"/>
    <w:tmpl w:val="B0BE10D2"/>
    <w:lvl w:ilvl="0" w:tplc="8E58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76"/>
    <w:rsid w:val="000226DF"/>
    <w:rsid w:val="00026847"/>
    <w:rsid w:val="00031D5C"/>
    <w:rsid w:val="000379F6"/>
    <w:rsid w:val="00071C6A"/>
    <w:rsid w:val="0009182C"/>
    <w:rsid w:val="000B05C9"/>
    <w:rsid w:val="000B7706"/>
    <w:rsid w:val="000E74AB"/>
    <w:rsid w:val="00142C37"/>
    <w:rsid w:val="0015283C"/>
    <w:rsid w:val="00161432"/>
    <w:rsid w:val="00164ACA"/>
    <w:rsid w:val="00184094"/>
    <w:rsid w:val="001A24F1"/>
    <w:rsid w:val="001C0207"/>
    <w:rsid w:val="001D73CD"/>
    <w:rsid w:val="001E29B3"/>
    <w:rsid w:val="001E5E54"/>
    <w:rsid w:val="001E6E32"/>
    <w:rsid w:val="001E7D27"/>
    <w:rsid w:val="002176B6"/>
    <w:rsid w:val="002245E7"/>
    <w:rsid w:val="00233714"/>
    <w:rsid w:val="00235DFD"/>
    <w:rsid w:val="00251651"/>
    <w:rsid w:val="00286419"/>
    <w:rsid w:val="00296086"/>
    <w:rsid w:val="002A0398"/>
    <w:rsid w:val="002E1139"/>
    <w:rsid w:val="002E13B4"/>
    <w:rsid w:val="002E51DD"/>
    <w:rsid w:val="002F7555"/>
    <w:rsid w:val="00311379"/>
    <w:rsid w:val="00324815"/>
    <w:rsid w:val="00325E3D"/>
    <w:rsid w:val="00354BC6"/>
    <w:rsid w:val="00380F81"/>
    <w:rsid w:val="00382162"/>
    <w:rsid w:val="00391962"/>
    <w:rsid w:val="003B61FC"/>
    <w:rsid w:val="003B7204"/>
    <w:rsid w:val="003F2A9B"/>
    <w:rsid w:val="003F550D"/>
    <w:rsid w:val="00407368"/>
    <w:rsid w:val="0041374E"/>
    <w:rsid w:val="00416430"/>
    <w:rsid w:val="004244C3"/>
    <w:rsid w:val="0043117C"/>
    <w:rsid w:val="00455D23"/>
    <w:rsid w:val="00485E9D"/>
    <w:rsid w:val="004A5474"/>
    <w:rsid w:val="004C6087"/>
    <w:rsid w:val="004C7315"/>
    <w:rsid w:val="004D3476"/>
    <w:rsid w:val="004E1D83"/>
    <w:rsid w:val="004F6B8F"/>
    <w:rsid w:val="004F7529"/>
    <w:rsid w:val="00514CA9"/>
    <w:rsid w:val="00515391"/>
    <w:rsid w:val="005315BB"/>
    <w:rsid w:val="00542C0C"/>
    <w:rsid w:val="005855BF"/>
    <w:rsid w:val="0058616E"/>
    <w:rsid w:val="005B0B23"/>
    <w:rsid w:val="005E14DC"/>
    <w:rsid w:val="005E382E"/>
    <w:rsid w:val="00613D13"/>
    <w:rsid w:val="0062153A"/>
    <w:rsid w:val="00624CF1"/>
    <w:rsid w:val="00637525"/>
    <w:rsid w:val="00644DB3"/>
    <w:rsid w:val="00676B81"/>
    <w:rsid w:val="0069115A"/>
    <w:rsid w:val="006C4D46"/>
    <w:rsid w:val="006F1CE0"/>
    <w:rsid w:val="00704A04"/>
    <w:rsid w:val="0070646E"/>
    <w:rsid w:val="00760666"/>
    <w:rsid w:val="00770807"/>
    <w:rsid w:val="00776D02"/>
    <w:rsid w:val="00797FA4"/>
    <w:rsid w:val="007C2C50"/>
    <w:rsid w:val="007D2F31"/>
    <w:rsid w:val="007D3266"/>
    <w:rsid w:val="0084033E"/>
    <w:rsid w:val="008465AF"/>
    <w:rsid w:val="00866768"/>
    <w:rsid w:val="00870F90"/>
    <w:rsid w:val="00871055"/>
    <w:rsid w:val="008827C2"/>
    <w:rsid w:val="00890FCD"/>
    <w:rsid w:val="008D4B95"/>
    <w:rsid w:val="008D5415"/>
    <w:rsid w:val="008D7A1F"/>
    <w:rsid w:val="008E6DBC"/>
    <w:rsid w:val="00907887"/>
    <w:rsid w:val="00916739"/>
    <w:rsid w:val="00952FCC"/>
    <w:rsid w:val="009669E0"/>
    <w:rsid w:val="00987F43"/>
    <w:rsid w:val="00994613"/>
    <w:rsid w:val="009B2708"/>
    <w:rsid w:val="009B4070"/>
    <w:rsid w:val="009C3B0A"/>
    <w:rsid w:val="009F170F"/>
    <w:rsid w:val="00A5428A"/>
    <w:rsid w:val="00A62BB7"/>
    <w:rsid w:val="00A75434"/>
    <w:rsid w:val="00A855C3"/>
    <w:rsid w:val="00AB4305"/>
    <w:rsid w:val="00AB6A09"/>
    <w:rsid w:val="00AB772C"/>
    <w:rsid w:val="00AE6088"/>
    <w:rsid w:val="00AE657C"/>
    <w:rsid w:val="00AF44D9"/>
    <w:rsid w:val="00B11E09"/>
    <w:rsid w:val="00B459C6"/>
    <w:rsid w:val="00B75763"/>
    <w:rsid w:val="00BA6009"/>
    <w:rsid w:val="00BE375E"/>
    <w:rsid w:val="00C0139E"/>
    <w:rsid w:val="00C06990"/>
    <w:rsid w:val="00C37790"/>
    <w:rsid w:val="00C6538F"/>
    <w:rsid w:val="00C70A2C"/>
    <w:rsid w:val="00C807AA"/>
    <w:rsid w:val="00CA26C8"/>
    <w:rsid w:val="00CD614B"/>
    <w:rsid w:val="00D01D82"/>
    <w:rsid w:val="00D1105E"/>
    <w:rsid w:val="00D22012"/>
    <w:rsid w:val="00D31E3D"/>
    <w:rsid w:val="00D54FC8"/>
    <w:rsid w:val="00D7254A"/>
    <w:rsid w:val="00D77243"/>
    <w:rsid w:val="00D951D2"/>
    <w:rsid w:val="00DA1FDE"/>
    <w:rsid w:val="00DB15B9"/>
    <w:rsid w:val="00DC3CF7"/>
    <w:rsid w:val="00DD0100"/>
    <w:rsid w:val="00DD75DB"/>
    <w:rsid w:val="00DE375C"/>
    <w:rsid w:val="00DE4FEA"/>
    <w:rsid w:val="00E02D8F"/>
    <w:rsid w:val="00E4211B"/>
    <w:rsid w:val="00E503BD"/>
    <w:rsid w:val="00E61E18"/>
    <w:rsid w:val="00E65044"/>
    <w:rsid w:val="00EA7B73"/>
    <w:rsid w:val="00EB0EE4"/>
    <w:rsid w:val="00EB6C43"/>
    <w:rsid w:val="00EC69AB"/>
    <w:rsid w:val="00EE4568"/>
    <w:rsid w:val="00F02143"/>
    <w:rsid w:val="00F42966"/>
    <w:rsid w:val="00F51506"/>
    <w:rsid w:val="00F65C7C"/>
    <w:rsid w:val="00F66638"/>
    <w:rsid w:val="00F733D4"/>
    <w:rsid w:val="00F75EBA"/>
    <w:rsid w:val="00F86433"/>
    <w:rsid w:val="00FC5BDD"/>
    <w:rsid w:val="00FC6A7F"/>
    <w:rsid w:val="00FE2434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3310B-B0E5-486A-9D83-8DC9108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70F"/>
    <w:rPr>
      <w:sz w:val="24"/>
      <w:szCs w:val="24"/>
    </w:rPr>
  </w:style>
  <w:style w:type="paragraph" w:styleId="Nadpis5">
    <w:name w:val="heading 5"/>
    <w:basedOn w:val="Normln"/>
    <w:link w:val="Nadpis5Char"/>
    <w:qFormat/>
    <w:rsid w:val="004D34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D3476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235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F6B8F"/>
    <w:rPr>
      <w:color w:val="0000FF"/>
      <w:u w:val="single"/>
    </w:rPr>
  </w:style>
  <w:style w:type="character" w:styleId="Sledovanodkaz">
    <w:name w:val="FollowedHyperlink"/>
    <w:basedOn w:val="Standardnpsmoodstavce"/>
    <w:rsid w:val="001A24F1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B772C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E61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přijímacího řízení do 1</vt:lpstr>
    </vt:vector>
  </TitlesOfParts>
  <Company/>
  <LinksUpToDate>false</LinksUpToDate>
  <CharactersWithSpaces>3612</CharactersWithSpaces>
  <SharedDoc>false</SharedDoc>
  <HLinks>
    <vt:vector size="12" baseType="variant">
      <vt:variant>
        <vt:i4>7864355</vt:i4>
      </vt:variant>
      <vt:variant>
        <vt:i4>6</vt:i4>
      </vt:variant>
      <vt:variant>
        <vt:i4>0</vt:i4>
      </vt:variant>
      <vt:variant>
        <vt:i4>5</vt:i4>
      </vt:variant>
      <vt:variant>
        <vt:lpwstr>http://www.soustav-ostrava.cz/</vt:lpwstr>
      </vt:variant>
      <vt:variant>
        <vt:lpwstr/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http://www.kr-moravskoslezsky.cz/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přijímacího řízení do 1</dc:title>
  <dc:creator>PC</dc:creator>
  <cp:lastModifiedBy>Marcela Gengelová</cp:lastModifiedBy>
  <cp:revision>2</cp:revision>
  <cp:lastPrinted>2018-05-11T08:51:00Z</cp:lastPrinted>
  <dcterms:created xsi:type="dcterms:W3CDTF">2020-05-13T10:54:00Z</dcterms:created>
  <dcterms:modified xsi:type="dcterms:W3CDTF">2020-05-13T10:54:00Z</dcterms:modified>
</cp:coreProperties>
</file>